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08FD" w14:textId="77777777" w:rsidR="00AC6804" w:rsidRPr="00E52552" w:rsidRDefault="00AC6804" w:rsidP="00AC6804">
      <w:pPr>
        <w:rPr>
          <w:sz w:val="22"/>
          <w:szCs w:val="22"/>
        </w:rPr>
      </w:pPr>
      <w:r w:rsidRPr="00E52552">
        <w:rPr>
          <w:b/>
          <w:bCs/>
          <w:sz w:val="32"/>
          <w:szCs w:val="32"/>
        </w:rPr>
        <w:t>WENDY E. HANDLER, MD, CIME</w:t>
      </w:r>
      <w:r w:rsidRPr="00E52552">
        <w:rPr>
          <w:sz w:val="22"/>
          <w:szCs w:val="22"/>
        </w:rPr>
        <w:br/>
        <w:t>Arlington, VA</w:t>
      </w:r>
      <w:r w:rsidRPr="00E52552">
        <w:rPr>
          <w:sz w:val="22"/>
          <w:szCs w:val="22"/>
        </w:rPr>
        <w:br/>
        <w:t>Phone: 703-899-4907</w:t>
      </w:r>
      <w:r w:rsidRPr="00E52552">
        <w:rPr>
          <w:sz w:val="22"/>
          <w:szCs w:val="22"/>
        </w:rPr>
        <w:br/>
        <w:t>Email: WEHandlerMD@gmail.com</w:t>
      </w:r>
    </w:p>
    <w:p w14:paraId="27388BE8" w14:textId="77777777" w:rsidR="00AC6804" w:rsidRPr="00E52552" w:rsidRDefault="00AC6804" w:rsidP="00AC6804">
      <w:pPr>
        <w:rPr>
          <w:sz w:val="22"/>
          <w:szCs w:val="22"/>
        </w:rPr>
      </w:pPr>
      <w:r w:rsidRPr="00E52552">
        <w:rPr>
          <w:sz w:val="22"/>
          <w:szCs w:val="22"/>
        </w:rPr>
        <w:t>Board-Certified Family Physician | Certified Independent Medical Examiner</w:t>
      </w:r>
      <w:r w:rsidRPr="00E52552">
        <w:rPr>
          <w:sz w:val="22"/>
          <w:szCs w:val="22"/>
        </w:rPr>
        <w:br/>
        <w:t>Physician Peer Reviewer | Medico-Legal Consultant | Disability Examiner</w:t>
      </w:r>
    </w:p>
    <w:p w14:paraId="3F5C0D63" w14:textId="77777777" w:rsidR="00AC6804" w:rsidRPr="00E52552" w:rsidRDefault="00000000" w:rsidP="00AC6804">
      <w:pPr>
        <w:rPr>
          <w:sz w:val="22"/>
          <w:szCs w:val="22"/>
        </w:rPr>
      </w:pPr>
      <w:r>
        <w:rPr>
          <w:sz w:val="22"/>
          <w:szCs w:val="22"/>
        </w:rPr>
        <w:pict w14:anchorId="01B132E2">
          <v:rect id="_x0000_i1025" style="width:0;height:1.5pt" o:hralign="center" o:hrstd="t" o:hr="t" fillcolor="#a0a0a0" stroked="f"/>
        </w:pict>
      </w:r>
    </w:p>
    <w:p w14:paraId="497A7218" w14:textId="77777777" w:rsidR="00AC6804" w:rsidRPr="00E52552" w:rsidRDefault="00AC6804" w:rsidP="00AC6804">
      <w:pPr>
        <w:rPr>
          <w:b/>
          <w:bCs/>
          <w:sz w:val="28"/>
          <w:szCs w:val="28"/>
        </w:rPr>
      </w:pPr>
      <w:r w:rsidRPr="00E52552">
        <w:rPr>
          <w:b/>
          <w:bCs/>
          <w:sz w:val="28"/>
          <w:szCs w:val="28"/>
        </w:rPr>
        <w:t>PROFESSIONAL SUMMARY</w:t>
      </w:r>
    </w:p>
    <w:p w14:paraId="5444A318" w14:textId="0C70A591" w:rsidR="00E65FD7" w:rsidRPr="00B4562D" w:rsidRDefault="00E65FD7" w:rsidP="00E65FD7">
      <w:pPr>
        <w:rPr>
          <w:sz w:val="22"/>
          <w:szCs w:val="22"/>
        </w:rPr>
      </w:pPr>
      <w:r w:rsidRPr="00B4562D">
        <w:rPr>
          <w:sz w:val="22"/>
          <w:szCs w:val="22"/>
        </w:rPr>
        <w:t>Family Medicine Physician and Certified Independent Medical Examiner (CIME) with over 31 years of clinical experience in primary care, urgent care, telemedicine, and academic medicine. Extensive expe</w:t>
      </w:r>
      <w:r w:rsidR="00F5131D">
        <w:rPr>
          <w:sz w:val="22"/>
          <w:szCs w:val="22"/>
        </w:rPr>
        <w:t xml:space="preserve">rience </w:t>
      </w:r>
      <w:r w:rsidRPr="00B4562D">
        <w:rPr>
          <w:sz w:val="22"/>
          <w:szCs w:val="22"/>
        </w:rPr>
        <w:t>providing expert medical opinions, including standard of care and malpractice case review, clinical quality review, medical necessity determination, peer review, and disability evaluations, while currently serving as a medical expert in ongoing medico-legal matters. Performs independent medical examinations (IME), leveraging CIME certification and comprehensive clinical expertise. Substantial,</w:t>
      </w:r>
      <w:r w:rsidR="0071575B" w:rsidRPr="0071575B">
        <w:t xml:space="preserve"> </w:t>
      </w:r>
      <w:r w:rsidR="0071575B">
        <w:t>o</w:t>
      </w:r>
      <w:r w:rsidR="0071575B" w:rsidRPr="0071575B">
        <w:rPr>
          <w:sz w:val="22"/>
          <w:szCs w:val="22"/>
        </w:rPr>
        <w:t>ngoing experience in COVID-19 diagnosis and management, including antiviral treatment selection, triage of patients to urgent or emergency care, and application of evolving national evidence-based guidelines</w:t>
      </w:r>
      <w:r w:rsidR="0071575B">
        <w:rPr>
          <w:sz w:val="22"/>
          <w:szCs w:val="22"/>
        </w:rPr>
        <w:t>.</w:t>
      </w:r>
      <w:r w:rsidR="00406CD2">
        <w:rPr>
          <w:sz w:val="22"/>
          <w:szCs w:val="22"/>
        </w:rPr>
        <w:t xml:space="preserve"> </w:t>
      </w:r>
      <w:r w:rsidRPr="00B4562D">
        <w:rPr>
          <w:sz w:val="22"/>
          <w:szCs w:val="22"/>
        </w:rPr>
        <w:t>Highly skilled in objective medical record review, guideline-based clinical analysis, functional assessment, and medico-legal reporting for attorneys, insurers, government agencies, and healthcare organizations. Recognized for concise, impartial, and defensible medical opinions.</w:t>
      </w:r>
    </w:p>
    <w:p w14:paraId="081E3710" w14:textId="77777777" w:rsidR="00AC6804" w:rsidRPr="00E52552" w:rsidRDefault="00000000" w:rsidP="00AC6804">
      <w:pPr>
        <w:rPr>
          <w:sz w:val="22"/>
          <w:szCs w:val="22"/>
        </w:rPr>
      </w:pPr>
      <w:r>
        <w:rPr>
          <w:sz w:val="22"/>
          <w:szCs w:val="22"/>
        </w:rPr>
        <w:pict w14:anchorId="05F9B1EA">
          <v:rect id="_x0000_i1026" style="width:0;height:1.5pt" o:hralign="center" o:hrstd="t" o:hr="t" fillcolor="#a0a0a0" stroked="f"/>
        </w:pict>
      </w:r>
    </w:p>
    <w:p w14:paraId="0A3310D8" w14:textId="77777777" w:rsidR="00AC6804" w:rsidRPr="00E52552" w:rsidRDefault="00AC6804" w:rsidP="00AC6804">
      <w:pPr>
        <w:rPr>
          <w:b/>
          <w:bCs/>
          <w:sz w:val="28"/>
          <w:szCs w:val="28"/>
        </w:rPr>
      </w:pPr>
      <w:r w:rsidRPr="00E52552">
        <w:rPr>
          <w:b/>
          <w:bCs/>
          <w:sz w:val="28"/>
          <w:szCs w:val="28"/>
        </w:rPr>
        <w:t>CORE COMPETENCIES</w:t>
      </w:r>
    </w:p>
    <w:p w14:paraId="52791601" w14:textId="16D66677" w:rsidR="00AC6804" w:rsidRPr="00E52552" w:rsidRDefault="004B776D" w:rsidP="00AC6804">
      <w:pPr>
        <w:rPr>
          <w:sz w:val="22"/>
          <w:szCs w:val="22"/>
        </w:rPr>
      </w:pPr>
      <w:r w:rsidRPr="004B776D">
        <w:rPr>
          <w:sz w:val="22"/>
          <w:szCs w:val="22"/>
        </w:rPr>
        <w:t>• Independent Medical Examinations (IME)</w:t>
      </w:r>
      <w:r w:rsidRPr="004B776D">
        <w:rPr>
          <w:sz w:val="22"/>
          <w:szCs w:val="22"/>
        </w:rPr>
        <w:br/>
        <w:t>• Medico-Legal Case Analysis &amp; Report Writing</w:t>
      </w:r>
      <w:r w:rsidRPr="004B776D">
        <w:rPr>
          <w:sz w:val="22"/>
          <w:szCs w:val="22"/>
        </w:rPr>
        <w:br/>
        <w:t>• COVID-19 Diagnosis, Antiviral Therapy &amp; Patient Triage</w:t>
      </w:r>
      <w:r w:rsidRPr="004B776D">
        <w:rPr>
          <w:sz w:val="22"/>
          <w:szCs w:val="22"/>
        </w:rPr>
        <w:br/>
        <w:t>• Asthma &amp; Allergy Management</w:t>
      </w:r>
      <w:r w:rsidRPr="004B776D">
        <w:rPr>
          <w:sz w:val="22"/>
          <w:szCs w:val="22"/>
        </w:rPr>
        <w:br/>
        <w:t>• Medical Record Review &amp; Peer Review</w:t>
      </w:r>
      <w:r w:rsidRPr="004B776D">
        <w:rPr>
          <w:sz w:val="22"/>
          <w:szCs w:val="22"/>
        </w:rPr>
        <w:br/>
        <w:t>• Standard of Care &amp; Malpractice Case Review</w:t>
      </w:r>
      <w:r w:rsidRPr="004B776D">
        <w:rPr>
          <w:sz w:val="22"/>
          <w:szCs w:val="22"/>
        </w:rPr>
        <w:br/>
        <w:t>• Medical Necessity Determination</w:t>
      </w:r>
      <w:r w:rsidRPr="004B776D">
        <w:rPr>
          <w:sz w:val="22"/>
          <w:szCs w:val="22"/>
        </w:rPr>
        <w:br/>
        <w:t>• Disability Evaluations &amp; Functional Assessment</w:t>
      </w:r>
      <w:r w:rsidRPr="004B776D">
        <w:rPr>
          <w:sz w:val="22"/>
          <w:szCs w:val="22"/>
        </w:rPr>
        <w:br/>
        <w:t>• Evidence-Based Medicine</w:t>
      </w:r>
      <w:r w:rsidRPr="004B776D">
        <w:rPr>
          <w:sz w:val="22"/>
          <w:szCs w:val="22"/>
        </w:rPr>
        <w:br/>
        <w:t>• Chart Auditing &amp; Clinical Quality Review</w:t>
      </w:r>
      <w:r w:rsidRPr="004B776D">
        <w:rPr>
          <w:sz w:val="22"/>
          <w:szCs w:val="22"/>
        </w:rPr>
        <w:br/>
        <w:t>• Clinical Guideline Development</w:t>
      </w:r>
      <w:r w:rsidRPr="004B776D">
        <w:rPr>
          <w:sz w:val="22"/>
          <w:szCs w:val="22"/>
        </w:rPr>
        <w:br/>
        <w:t>• Telemedicine Clinical Leadership</w:t>
      </w:r>
      <w:r w:rsidRPr="004B776D">
        <w:rPr>
          <w:sz w:val="22"/>
          <w:szCs w:val="22"/>
        </w:rPr>
        <w:br/>
        <w:t>• Medicare Advantage Risk Assessment</w:t>
      </w:r>
      <w:r w:rsidRPr="004B776D">
        <w:rPr>
          <w:sz w:val="22"/>
          <w:szCs w:val="22"/>
        </w:rPr>
        <w:br/>
        <w:t>• Academic Teaching &amp; Precepting</w:t>
      </w:r>
      <w:r w:rsidR="00000000">
        <w:rPr>
          <w:sz w:val="22"/>
          <w:szCs w:val="22"/>
        </w:rPr>
        <w:pict w14:anchorId="572B1F1F">
          <v:rect id="_x0000_i1027" style="width:0;height:1.5pt" o:hralign="center" o:hrstd="t" o:hr="t" fillcolor="#a0a0a0" stroked="f"/>
        </w:pict>
      </w:r>
    </w:p>
    <w:p w14:paraId="0A4E07B9" w14:textId="77777777" w:rsidR="00AC6804" w:rsidRPr="00E52552" w:rsidRDefault="00AC6804" w:rsidP="00AC6804">
      <w:pPr>
        <w:rPr>
          <w:b/>
          <w:bCs/>
          <w:sz w:val="28"/>
          <w:szCs w:val="28"/>
        </w:rPr>
      </w:pPr>
      <w:r w:rsidRPr="00E52552">
        <w:rPr>
          <w:b/>
          <w:bCs/>
          <w:sz w:val="28"/>
          <w:szCs w:val="28"/>
        </w:rPr>
        <w:lastRenderedPageBreak/>
        <w:t>PROFESSIONAL EXPERIENCE</w:t>
      </w:r>
    </w:p>
    <w:p w14:paraId="37502C5E" w14:textId="77777777" w:rsidR="00546874" w:rsidRDefault="00546874" w:rsidP="00546874">
      <w:pPr>
        <w:rPr>
          <w:sz w:val="22"/>
          <w:szCs w:val="22"/>
        </w:rPr>
      </w:pPr>
      <w:r w:rsidRPr="00E52552">
        <w:rPr>
          <w:b/>
          <w:bCs/>
        </w:rPr>
        <w:t>Baker McKenzie – Medical Expert</w:t>
      </w:r>
      <w:r w:rsidRPr="00E52552">
        <w:rPr>
          <w:sz w:val="22"/>
          <w:szCs w:val="22"/>
        </w:rPr>
        <w:br/>
        <w:t>September 2025 – Present</w:t>
      </w:r>
      <w:r w:rsidRPr="00E52552">
        <w:rPr>
          <w:sz w:val="22"/>
          <w:szCs w:val="22"/>
        </w:rPr>
        <w:br/>
        <w:t>• Perform comprehensive</w:t>
      </w:r>
      <w:r>
        <w:rPr>
          <w:sz w:val="22"/>
          <w:szCs w:val="22"/>
        </w:rPr>
        <w:t xml:space="preserve"> </w:t>
      </w:r>
      <w:r w:rsidRPr="00E52552">
        <w:rPr>
          <w:sz w:val="22"/>
          <w:szCs w:val="22"/>
        </w:rPr>
        <w:t>history, physical examination, and diagnostic review.</w:t>
      </w:r>
      <w:r w:rsidRPr="00E52552">
        <w:rPr>
          <w:sz w:val="22"/>
          <w:szCs w:val="22"/>
        </w:rPr>
        <w:br/>
        <w:t xml:space="preserve">• </w:t>
      </w:r>
      <w:r w:rsidRPr="0095756B">
        <w:rPr>
          <w:sz w:val="22"/>
          <w:szCs w:val="22"/>
        </w:rPr>
        <w:t>Produce clear, objective, evidence-based medico-legal reports analyzing clinical findings and formulating guideline-supported recommendations</w:t>
      </w:r>
      <w:r>
        <w:rPr>
          <w:sz w:val="22"/>
          <w:szCs w:val="22"/>
        </w:rPr>
        <w:t>.</w:t>
      </w:r>
    </w:p>
    <w:p w14:paraId="6E8AF223" w14:textId="77777777" w:rsidR="00AC6804" w:rsidRPr="00E52552" w:rsidRDefault="00AC6804" w:rsidP="00AC6804">
      <w:pPr>
        <w:rPr>
          <w:sz w:val="22"/>
          <w:szCs w:val="22"/>
        </w:rPr>
      </w:pPr>
      <w:r w:rsidRPr="00E52552">
        <w:rPr>
          <w:b/>
          <w:bCs/>
        </w:rPr>
        <w:t>Commence Health – Physician Peer Reviewer</w:t>
      </w:r>
      <w:r w:rsidRPr="00E52552">
        <w:br/>
      </w:r>
      <w:r w:rsidRPr="00E52552">
        <w:rPr>
          <w:sz w:val="22"/>
          <w:szCs w:val="22"/>
        </w:rPr>
        <w:t>August 2025 – Present</w:t>
      </w:r>
      <w:r w:rsidRPr="00E52552">
        <w:rPr>
          <w:sz w:val="22"/>
          <w:szCs w:val="22"/>
        </w:rPr>
        <w:br/>
        <w:t>• Conduct malpractice case reviews to determine adherence to guidelines, standards of care, and best practices.</w:t>
      </w:r>
      <w:r w:rsidRPr="00E52552">
        <w:rPr>
          <w:sz w:val="22"/>
          <w:szCs w:val="22"/>
        </w:rPr>
        <w:br/>
        <w:t>• Prepare concise, evidence-based written opinions addressing causation, deviations from care standards, and clinical appropriateness.</w:t>
      </w:r>
      <w:r w:rsidRPr="00E52552">
        <w:rPr>
          <w:sz w:val="22"/>
          <w:szCs w:val="22"/>
        </w:rPr>
        <w:br/>
        <w:t>• Analyze provider documentation, medical decision-making, and treatment outcomes for legal teams.</w:t>
      </w:r>
    </w:p>
    <w:p w14:paraId="10039C5F" w14:textId="2A5B2AB2" w:rsidR="00AC6804" w:rsidRPr="00E52552" w:rsidRDefault="00AC6804" w:rsidP="00B458C1">
      <w:pPr>
        <w:rPr>
          <w:sz w:val="22"/>
          <w:szCs w:val="22"/>
        </w:rPr>
      </w:pPr>
      <w:r w:rsidRPr="00E52552">
        <w:rPr>
          <w:b/>
          <w:bCs/>
        </w:rPr>
        <w:t>Dane Street – Physician Disability Examiner, U.S. Department of Veterans Affairs</w:t>
      </w:r>
      <w:r w:rsidRPr="00E52552">
        <w:rPr>
          <w:sz w:val="22"/>
          <w:szCs w:val="22"/>
        </w:rPr>
        <w:br/>
        <w:t>August 2025 – Present</w:t>
      </w:r>
      <w:r w:rsidRPr="00E52552">
        <w:rPr>
          <w:sz w:val="22"/>
          <w:szCs w:val="22"/>
        </w:rPr>
        <w:br/>
        <w:t>• Perform VA-certified disability evaluations, including full medical record review, physical examination, and completion of Disability Benefits Questionnaires (DBQs) in compliance with VA standards.</w:t>
      </w:r>
      <w:r w:rsidRPr="00E52552">
        <w:rPr>
          <w:sz w:val="22"/>
          <w:szCs w:val="22"/>
        </w:rPr>
        <w:br/>
        <w:t>• Assess diagnostic accuracy, functional impairment, and service-related disability.</w:t>
      </w:r>
      <w:r w:rsidRPr="00E52552">
        <w:rPr>
          <w:sz w:val="22"/>
          <w:szCs w:val="22"/>
        </w:rPr>
        <w:br/>
        <w:t>• Completed Medical Disability Examiner (MDE) certification through TRAIN, Virginia Department of Health (March 2025).</w:t>
      </w:r>
    </w:p>
    <w:p w14:paraId="75929B03" w14:textId="75E5CC6E" w:rsidR="00AC6804" w:rsidRPr="00E52552" w:rsidRDefault="00AC6804" w:rsidP="00AC6804">
      <w:pPr>
        <w:rPr>
          <w:sz w:val="22"/>
          <w:szCs w:val="22"/>
        </w:rPr>
      </w:pPr>
      <w:r w:rsidRPr="00E52552">
        <w:rPr>
          <w:b/>
          <w:bCs/>
        </w:rPr>
        <w:t>Certified Independent Medical Examiner (CIME), American Board of Independent Medical Examiners (ABIME)</w:t>
      </w:r>
      <w:r w:rsidRPr="00E52552">
        <w:rPr>
          <w:sz w:val="22"/>
          <w:szCs w:val="22"/>
        </w:rPr>
        <w:br/>
        <w:t xml:space="preserve">• AMA Guides to the Evaluation of Permanent Impairment, 5th Edition </w:t>
      </w:r>
      <w:r w:rsidR="0058588E">
        <w:rPr>
          <w:sz w:val="22"/>
          <w:szCs w:val="22"/>
        </w:rPr>
        <w:t>c</w:t>
      </w:r>
      <w:r w:rsidRPr="00E52552">
        <w:rPr>
          <w:sz w:val="22"/>
          <w:szCs w:val="22"/>
        </w:rPr>
        <w:t>ourse (December 2024)</w:t>
      </w:r>
      <w:r w:rsidRPr="00E52552">
        <w:rPr>
          <w:sz w:val="22"/>
          <w:szCs w:val="22"/>
        </w:rPr>
        <w:br/>
        <w:t xml:space="preserve">• Advanced Case Studies </w:t>
      </w:r>
      <w:r w:rsidR="0058588E">
        <w:rPr>
          <w:sz w:val="22"/>
          <w:szCs w:val="22"/>
        </w:rPr>
        <w:t>c</w:t>
      </w:r>
      <w:r w:rsidRPr="00E52552">
        <w:rPr>
          <w:sz w:val="22"/>
          <w:szCs w:val="22"/>
        </w:rPr>
        <w:t>ourse (December 2024)</w:t>
      </w:r>
      <w:r w:rsidRPr="00E52552">
        <w:rPr>
          <w:sz w:val="22"/>
          <w:szCs w:val="22"/>
        </w:rPr>
        <w:br/>
        <w:t>• Certification examination completed December 21, 2024</w:t>
      </w:r>
    </w:p>
    <w:p w14:paraId="12BEDA08" w14:textId="4775E242" w:rsidR="005D3589" w:rsidRPr="005D3589" w:rsidRDefault="005D3589" w:rsidP="005D3589">
      <w:pPr>
        <w:rPr>
          <w:b/>
          <w:bCs/>
          <w:sz w:val="22"/>
          <w:szCs w:val="22"/>
        </w:rPr>
      </w:pPr>
      <w:r w:rsidRPr="005D3589">
        <w:rPr>
          <w:b/>
          <w:bCs/>
        </w:rPr>
        <w:t xml:space="preserve">MedStar Health – </w:t>
      </w:r>
      <w:proofErr w:type="spellStart"/>
      <w:r w:rsidRPr="005D3589">
        <w:rPr>
          <w:b/>
          <w:bCs/>
        </w:rPr>
        <w:t>eVisit</w:t>
      </w:r>
      <w:proofErr w:type="spellEnd"/>
      <w:r w:rsidRPr="005D3589">
        <w:rPr>
          <w:b/>
          <w:bCs/>
        </w:rPr>
        <w:t xml:space="preserve"> Physician</w:t>
      </w:r>
      <w:r w:rsidRPr="005D3589">
        <w:rPr>
          <w:b/>
          <w:bCs/>
        </w:rPr>
        <w:br/>
      </w:r>
      <w:r w:rsidRPr="005D3589">
        <w:rPr>
          <w:sz w:val="22"/>
          <w:szCs w:val="22"/>
        </w:rPr>
        <w:t>April 2020 – Present | Remote, Part-Time</w:t>
      </w:r>
      <w:r w:rsidRPr="005D3589">
        <w:rPr>
          <w:sz w:val="22"/>
          <w:szCs w:val="22"/>
        </w:rPr>
        <w:br/>
        <w:t>• Provide virtual urgent care across the Washington, DC, Maryland, and Virginia region.</w:t>
      </w:r>
      <w:r w:rsidRPr="005D3589">
        <w:rPr>
          <w:sz w:val="22"/>
          <w:szCs w:val="22"/>
        </w:rPr>
        <w:br/>
        <w:t>• Perform diagnostic evaluation and management of acute and chronic conditions, including COVID-19</w:t>
      </w:r>
      <w:r w:rsidR="0049151D">
        <w:rPr>
          <w:sz w:val="22"/>
          <w:szCs w:val="22"/>
        </w:rPr>
        <w:t>, Asthma and Allergies.</w:t>
      </w:r>
      <w:r w:rsidRPr="005D3589">
        <w:rPr>
          <w:sz w:val="22"/>
          <w:szCs w:val="22"/>
        </w:rPr>
        <w:br/>
        <w:t>• Select and manage COVID-19 antiviral treatments, provide isolation guidance, and determine appropriate level of care (urgent care vs. emergency department) in accordance with national evidence-based guidelines.</w:t>
      </w:r>
      <w:r w:rsidRPr="005D3589">
        <w:rPr>
          <w:sz w:val="22"/>
          <w:szCs w:val="22"/>
        </w:rPr>
        <w:br/>
        <w:t>• Deliver telemedicine care consistent with established standards of care.</w:t>
      </w:r>
    </w:p>
    <w:p w14:paraId="3EBF2891" w14:textId="77777777" w:rsidR="005D3589" w:rsidRPr="005D3589" w:rsidRDefault="005D3589" w:rsidP="005D3589">
      <w:pPr>
        <w:rPr>
          <w:b/>
          <w:bCs/>
        </w:rPr>
      </w:pPr>
      <w:r w:rsidRPr="005D3589">
        <w:rPr>
          <w:b/>
          <w:bCs/>
        </w:rPr>
        <w:lastRenderedPageBreak/>
        <w:t>MedStar Health – Concurrent Leadership Role: Clinical Quality Review Lead</w:t>
      </w:r>
      <w:r w:rsidRPr="005D3589">
        <w:rPr>
          <w:b/>
          <w:bCs/>
        </w:rPr>
        <w:br/>
      </w:r>
      <w:r w:rsidRPr="005D3589">
        <w:rPr>
          <w:sz w:val="22"/>
          <w:szCs w:val="22"/>
        </w:rPr>
        <w:t>April 2020 – June 2025</w:t>
      </w:r>
      <w:r w:rsidRPr="005D3589">
        <w:rPr>
          <w:sz w:val="22"/>
          <w:szCs w:val="22"/>
        </w:rPr>
        <w:br/>
        <w:t>• Delegating physician and lead clinical reviewer for over 40 Physician Assistants (PAs) and Nurse Practitioners (NPs).</w:t>
      </w:r>
      <w:r w:rsidRPr="005D3589">
        <w:rPr>
          <w:sz w:val="22"/>
          <w:szCs w:val="22"/>
        </w:rPr>
        <w:br/>
        <w:t>• Conducted quarterly in-depth chart audits to improve documentation, clinical decision-making, and quality of patient care.</w:t>
      </w:r>
      <w:r w:rsidRPr="005D3589">
        <w:rPr>
          <w:sz w:val="22"/>
          <w:szCs w:val="22"/>
        </w:rPr>
        <w:br/>
        <w:t>• Reviewed and co-signed approximately 150 charts weekly, ensuring adherence to clinical guidelines.</w:t>
      </w:r>
      <w:r w:rsidRPr="005D3589">
        <w:rPr>
          <w:sz w:val="22"/>
          <w:szCs w:val="22"/>
        </w:rPr>
        <w:br/>
        <w:t>• Served as subject matter expert for COVID-19 diagnosis and management, including antiviral treatment selection and guideline interpretation.</w:t>
      </w:r>
      <w:r w:rsidRPr="005D3589">
        <w:rPr>
          <w:sz w:val="22"/>
          <w:szCs w:val="22"/>
        </w:rPr>
        <w:br/>
        <w:t xml:space="preserve">• Developed evidence-based protocols and clinical templates (including COVID-19 therapeutics) adopted system-wide, contributing to new </w:t>
      </w:r>
      <w:proofErr w:type="spellStart"/>
      <w:r w:rsidRPr="005D3589">
        <w:rPr>
          <w:sz w:val="22"/>
          <w:szCs w:val="22"/>
        </w:rPr>
        <w:t>eVisit</w:t>
      </w:r>
      <w:proofErr w:type="spellEnd"/>
      <w:r w:rsidRPr="005D3589">
        <w:rPr>
          <w:sz w:val="22"/>
          <w:szCs w:val="22"/>
        </w:rPr>
        <w:t xml:space="preserve"> policies.</w:t>
      </w:r>
      <w:r w:rsidRPr="005D3589">
        <w:rPr>
          <w:sz w:val="22"/>
          <w:szCs w:val="22"/>
        </w:rPr>
        <w:br/>
        <w:t>• Provided real-time clinical and administrative guidance to telehealth teams.</w:t>
      </w:r>
    </w:p>
    <w:p w14:paraId="1C4A6F04" w14:textId="2CD6A93B" w:rsidR="00AC6804" w:rsidRPr="00E52552" w:rsidRDefault="00AC6804" w:rsidP="00BE642F">
      <w:pPr>
        <w:rPr>
          <w:sz w:val="22"/>
          <w:szCs w:val="22"/>
        </w:rPr>
      </w:pPr>
      <w:r w:rsidRPr="00E52552">
        <w:rPr>
          <w:b/>
          <w:bCs/>
        </w:rPr>
        <w:t>MedStar Georgetown University Hospital – Attending Physician; Clinical Assistant Professor of Family Medicine</w:t>
      </w:r>
      <w:r w:rsidRPr="00E52552">
        <w:rPr>
          <w:sz w:val="22"/>
          <w:szCs w:val="22"/>
        </w:rPr>
        <w:br/>
        <w:t>Georgetown University Student Health Center</w:t>
      </w:r>
      <w:r w:rsidRPr="00E52552">
        <w:rPr>
          <w:sz w:val="22"/>
          <w:szCs w:val="22"/>
        </w:rPr>
        <w:br/>
        <w:t xml:space="preserve">January 2017 – </w:t>
      </w:r>
      <w:r w:rsidR="001E5560" w:rsidRPr="005D3589">
        <w:rPr>
          <w:sz w:val="22"/>
          <w:szCs w:val="22"/>
        </w:rPr>
        <w:t>Present | Part-Time</w:t>
      </w:r>
      <w:r w:rsidRPr="00E52552">
        <w:rPr>
          <w:sz w:val="22"/>
          <w:szCs w:val="22"/>
        </w:rPr>
        <w:br/>
        <w:t>• Provide full-spectrum primary care to undergraduate and graduate students.</w:t>
      </w:r>
      <w:r w:rsidRPr="00E52552">
        <w:rPr>
          <w:sz w:val="22"/>
          <w:szCs w:val="22"/>
        </w:rPr>
        <w:br/>
        <w:t>• Precept Internal Medicine and Pediatrics residents.</w:t>
      </w:r>
      <w:r w:rsidRPr="00E52552">
        <w:rPr>
          <w:sz w:val="22"/>
          <w:szCs w:val="22"/>
        </w:rPr>
        <w:br/>
        <w:t>• Facilitate small-group</w:t>
      </w:r>
      <w:r w:rsidR="00CB7ECC">
        <w:rPr>
          <w:sz w:val="22"/>
          <w:szCs w:val="22"/>
        </w:rPr>
        <w:t xml:space="preserve"> </w:t>
      </w:r>
      <w:r w:rsidR="009027F1" w:rsidRPr="009027F1">
        <w:rPr>
          <w:sz w:val="22"/>
          <w:szCs w:val="22"/>
        </w:rPr>
        <w:t>educational sessions for Georgetown University medical students, including LGBTQ health, population health and health policy, community-based learning, and the family medicine clerkship.</w:t>
      </w:r>
      <w:r w:rsidRPr="00E52552">
        <w:rPr>
          <w:sz w:val="22"/>
          <w:szCs w:val="22"/>
        </w:rPr>
        <w:br/>
        <w:t>• Mentor students in clinical reasoning and documentat</w:t>
      </w:r>
      <w:r w:rsidR="009027F1">
        <w:rPr>
          <w:sz w:val="22"/>
          <w:szCs w:val="22"/>
        </w:rPr>
        <w:t>ion</w:t>
      </w:r>
      <w:r w:rsidRPr="00E52552">
        <w:rPr>
          <w:sz w:val="22"/>
          <w:szCs w:val="22"/>
        </w:rPr>
        <w:t xml:space="preserve"> accuracy.</w:t>
      </w:r>
    </w:p>
    <w:p w14:paraId="6E91BCC6" w14:textId="77777777" w:rsidR="00AC6804" w:rsidRPr="00E52552" w:rsidRDefault="00AC6804" w:rsidP="00AC6804">
      <w:pPr>
        <w:rPr>
          <w:sz w:val="22"/>
          <w:szCs w:val="22"/>
        </w:rPr>
      </w:pPr>
      <w:r w:rsidRPr="00E52552">
        <w:rPr>
          <w:b/>
          <w:bCs/>
        </w:rPr>
        <w:t>Signify Health – Physician, Medicare Advantage Risk Assessments</w:t>
      </w:r>
      <w:r w:rsidRPr="00E52552">
        <w:rPr>
          <w:sz w:val="22"/>
          <w:szCs w:val="22"/>
        </w:rPr>
        <w:br/>
        <w:t>February 2019 – March 2020</w:t>
      </w:r>
      <w:r w:rsidRPr="00E52552">
        <w:rPr>
          <w:sz w:val="22"/>
          <w:szCs w:val="22"/>
        </w:rPr>
        <w:br/>
        <w:t>• Conducted comprehensive in-home evaluations for Medicare Advantage members.</w:t>
      </w:r>
      <w:r w:rsidRPr="00E52552">
        <w:rPr>
          <w:sz w:val="22"/>
          <w:szCs w:val="22"/>
        </w:rPr>
        <w:br/>
        <w:t>• Performed detailed history, physical examination, medication reconciliation, functional assessments, and care coordination recommendations.</w:t>
      </w:r>
    </w:p>
    <w:p w14:paraId="6803ED57" w14:textId="1468E9ED" w:rsidR="00AC6804" w:rsidRPr="00E52552" w:rsidRDefault="00AC6804" w:rsidP="00AC6804">
      <w:pPr>
        <w:rPr>
          <w:sz w:val="22"/>
          <w:szCs w:val="22"/>
        </w:rPr>
      </w:pPr>
      <w:r w:rsidRPr="00E52552">
        <w:rPr>
          <w:b/>
          <w:bCs/>
        </w:rPr>
        <w:t>Allergy and Asthma Network – Medical Consultant</w:t>
      </w:r>
      <w:r w:rsidRPr="00E52552">
        <w:rPr>
          <w:sz w:val="22"/>
          <w:szCs w:val="22"/>
        </w:rPr>
        <w:br/>
        <w:t>May 2019 – December 2019</w:t>
      </w:r>
      <w:r w:rsidRPr="00E52552">
        <w:rPr>
          <w:sz w:val="22"/>
          <w:szCs w:val="22"/>
        </w:rPr>
        <w:br/>
        <w:t>• Content creator and presenter of online asthma and allergy patient education videos.</w:t>
      </w:r>
      <w:r w:rsidRPr="00E52552">
        <w:rPr>
          <w:sz w:val="22"/>
          <w:szCs w:val="22"/>
        </w:rPr>
        <w:br/>
        <w:t>• Served on the Oral Corticosteroid Steering Committee addressing global steroid overuse.</w:t>
      </w:r>
      <w:r w:rsidRPr="00E52552">
        <w:rPr>
          <w:sz w:val="22"/>
          <w:szCs w:val="22"/>
        </w:rPr>
        <w:br/>
        <w:t>• Advocated for allergy</w:t>
      </w:r>
      <w:r w:rsidR="007C6B97">
        <w:rPr>
          <w:sz w:val="22"/>
          <w:szCs w:val="22"/>
        </w:rPr>
        <w:t xml:space="preserve"> </w:t>
      </w:r>
      <w:r w:rsidRPr="00E52552">
        <w:rPr>
          <w:sz w:val="22"/>
          <w:szCs w:val="22"/>
        </w:rPr>
        <w:t>and asthma-related legislation on Capitol Hill.</w:t>
      </w:r>
    </w:p>
    <w:p w14:paraId="79B514B8" w14:textId="77777777" w:rsidR="00AC6804" w:rsidRPr="00E52552" w:rsidRDefault="00AC6804" w:rsidP="00AC6804">
      <w:pPr>
        <w:rPr>
          <w:sz w:val="22"/>
          <w:szCs w:val="22"/>
        </w:rPr>
      </w:pPr>
      <w:r w:rsidRPr="00E52552">
        <w:rPr>
          <w:b/>
          <w:bCs/>
        </w:rPr>
        <w:t>Magellan Health – Physician Clinical Reviewer (Radiology)</w:t>
      </w:r>
      <w:r w:rsidRPr="00E52552">
        <w:rPr>
          <w:sz w:val="22"/>
          <w:szCs w:val="22"/>
        </w:rPr>
        <w:br/>
        <w:t>September 2019 – December 2019</w:t>
      </w:r>
      <w:r w:rsidRPr="00E52552">
        <w:rPr>
          <w:sz w:val="22"/>
          <w:szCs w:val="22"/>
        </w:rPr>
        <w:br/>
        <w:t>• Reviewed imaging requests (X-ray, CT, MRI, PET, echocardiography, nuclear stress testing, angiography) for medical necessity determination.</w:t>
      </w:r>
      <w:r w:rsidRPr="00E52552">
        <w:rPr>
          <w:sz w:val="22"/>
          <w:szCs w:val="22"/>
        </w:rPr>
        <w:br/>
        <w:t>• Conducted peer-to-peer reviews with ordering physicians to clarify case justification.</w:t>
      </w:r>
    </w:p>
    <w:p w14:paraId="32E8C92F" w14:textId="60651A3D" w:rsidR="00AC6804" w:rsidRPr="00E52552" w:rsidRDefault="00AC6804" w:rsidP="00AC6804">
      <w:pPr>
        <w:rPr>
          <w:sz w:val="22"/>
          <w:szCs w:val="22"/>
        </w:rPr>
      </w:pPr>
      <w:r w:rsidRPr="00E52552">
        <w:rPr>
          <w:b/>
          <w:bCs/>
        </w:rPr>
        <w:lastRenderedPageBreak/>
        <w:t>Collect Rx – Senior Vice President, Sales and Account Management</w:t>
      </w:r>
      <w:r w:rsidRPr="00E52552">
        <w:rPr>
          <w:sz w:val="22"/>
          <w:szCs w:val="22"/>
        </w:rPr>
        <w:br/>
        <w:t>March 2014 – December 2016</w:t>
      </w:r>
      <w:r w:rsidRPr="00E52552">
        <w:rPr>
          <w:sz w:val="22"/>
          <w:szCs w:val="22"/>
        </w:rPr>
        <w:br/>
        <w:t>• Analyzed complex medical cases to optimize out-of-network insurance reimbursement.</w:t>
      </w:r>
      <w:r w:rsidRPr="00E52552">
        <w:rPr>
          <w:sz w:val="22"/>
          <w:szCs w:val="22"/>
        </w:rPr>
        <w:br/>
        <w:t xml:space="preserve">• Educated providers and </w:t>
      </w:r>
      <w:r w:rsidR="000679E1">
        <w:rPr>
          <w:sz w:val="22"/>
          <w:szCs w:val="22"/>
        </w:rPr>
        <w:t xml:space="preserve">their </w:t>
      </w:r>
      <w:r w:rsidRPr="00E52552">
        <w:rPr>
          <w:sz w:val="22"/>
          <w:szCs w:val="22"/>
        </w:rPr>
        <w:t>staff on insurance and billing complexities.</w:t>
      </w:r>
      <w:r w:rsidRPr="00E52552">
        <w:rPr>
          <w:sz w:val="22"/>
          <w:szCs w:val="22"/>
        </w:rPr>
        <w:br/>
        <w:t>• Managed key accounts using Salesforce and Microsoft Office.</w:t>
      </w:r>
    </w:p>
    <w:p w14:paraId="277AF11C" w14:textId="0132732C" w:rsidR="00AC6804" w:rsidRPr="00E52552" w:rsidRDefault="00AC6804" w:rsidP="00AC6804">
      <w:pPr>
        <w:rPr>
          <w:sz w:val="22"/>
          <w:szCs w:val="22"/>
        </w:rPr>
      </w:pPr>
      <w:r w:rsidRPr="00E52552">
        <w:rPr>
          <w:b/>
          <w:bCs/>
        </w:rPr>
        <w:t>Erickson Health Medical Group – Physician, Continuing Care</w:t>
      </w:r>
      <w:r w:rsidRPr="00E52552">
        <w:rPr>
          <w:sz w:val="22"/>
          <w:szCs w:val="22"/>
        </w:rPr>
        <w:br/>
        <w:t>January 2013 – February 2014</w:t>
      </w:r>
      <w:r w:rsidRPr="00E52552">
        <w:rPr>
          <w:sz w:val="22"/>
          <w:szCs w:val="22"/>
        </w:rPr>
        <w:br/>
        <w:t xml:space="preserve">• Provided geriatric primary care across assisted living, independent living, long-term care, and </w:t>
      </w:r>
      <w:r w:rsidR="00762458">
        <w:rPr>
          <w:sz w:val="22"/>
          <w:szCs w:val="22"/>
        </w:rPr>
        <w:t xml:space="preserve">skilled </w:t>
      </w:r>
      <w:r w:rsidRPr="00E52552">
        <w:rPr>
          <w:sz w:val="22"/>
          <w:szCs w:val="22"/>
        </w:rPr>
        <w:t>rehabilitation settings.</w:t>
      </w:r>
      <w:r w:rsidRPr="00E52552">
        <w:rPr>
          <w:sz w:val="22"/>
          <w:szCs w:val="22"/>
        </w:rPr>
        <w:br/>
        <w:t>• Utilized electronic medical records and Medicare billing and clinical care guidelines.</w:t>
      </w:r>
    </w:p>
    <w:p w14:paraId="32807B44" w14:textId="77777777" w:rsidR="00AC6804" w:rsidRPr="00E52552" w:rsidRDefault="00AC6804" w:rsidP="00AC6804">
      <w:pPr>
        <w:rPr>
          <w:sz w:val="22"/>
          <w:szCs w:val="22"/>
        </w:rPr>
      </w:pPr>
      <w:r w:rsidRPr="00E52552">
        <w:rPr>
          <w:b/>
          <w:bCs/>
        </w:rPr>
        <w:t>Wendy Handler MD, PC – Solo Practice Owner and Physician</w:t>
      </w:r>
      <w:r w:rsidRPr="00E52552">
        <w:rPr>
          <w:sz w:val="22"/>
          <w:szCs w:val="22"/>
        </w:rPr>
        <w:br/>
        <w:t>June 2005 – December 2012</w:t>
      </w:r>
      <w:r w:rsidRPr="00E52552">
        <w:rPr>
          <w:sz w:val="22"/>
          <w:szCs w:val="22"/>
        </w:rPr>
        <w:br/>
        <w:t>• Sole clinician for a panel exceeding 2,000 patients.</w:t>
      </w:r>
      <w:r w:rsidRPr="00E52552">
        <w:rPr>
          <w:sz w:val="22"/>
          <w:szCs w:val="22"/>
        </w:rPr>
        <w:br/>
        <w:t>• Delivered full-spectrum outpatient family medicine.</w:t>
      </w:r>
      <w:r w:rsidRPr="00E52552">
        <w:rPr>
          <w:sz w:val="22"/>
          <w:szCs w:val="22"/>
        </w:rPr>
        <w:br/>
        <w:t>• Managed all clinical and administrative operations, including billing, coding, staffing, and compliance.</w:t>
      </w:r>
    </w:p>
    <w:p w14:paraId="0605AD1C" w14:textId="77777777" w:rsidR="00AC6804" w:rsidRPr="00E52552" w:rsidRDefault="00AC6804" w:rsidP="00AC6804">
      <w:pPr>
        <w:rPr>
          <w:sz w:val="22"/>
          <w:szCs w:val="22"/>
        </w:rPr>
      </w:pPr>
      <w:r w:rsidRPr="00E52552">
        <w:rPr>
          <w:b/>
          <w:bCs/>
        </w:rPr>
        <w:t>Urgent Care Experience</w:t>
      </w:r>
      <w:r w:rsidRPr="00E52552">
        <w:rPr>
          <w:sz w:val="22"/>
          <w:szCs w:val="22"/>
        </w:rPr>
        <w:br/>
        <w:t>November 2001 – May 2005</w:t>
      </w:r>
      <w:r w:rsidRPr="00E52552">
        <w:rPr>
          <w:sz w:val="22"/>
          <w:szCs w:val="22"/>
        </w:rPr>
        <w:br/>
        <w:t>• Director, Landmark Urgent Care (May 2003 – May 2005)</w:t>
      </w:r>
      <w:r w:rsidRPr="00E52552">
        <w:rPr>
          <w:sz w:val="22"/>
          <w:szCs w:val="22"/>
        </w:rPr>
        <w:br/>
        <w:t>• Physician, NOVA Urgent Care (November 2001 – March 2003)</w:t>
      </w:r>
      <w:r w:rsidRPr="00E52552">
        <w:rPr>
          <w:sz w:val="22"/>
          <w:szCs w:val="22"/>
        </w:rPr>
        <w:br/>
        <w:t>• Delivered high-volume acute care services.</w:t>
      </w:r>
    </w:p>
    <w:p w14:paraId="22CEB0A3" w14:textId="77777777" w:rsidR="00AC6804" w:rsidRPr="00E52552" w:rsidRDefault="00000000" w:rsidP="00AC6804">
      <w:pPr>
        <w:rPr>
          <w:sz w:val="22"/>
          <w:szCs w:val="22"/>
        </w:rPr>
      </w:pPr>
      <w:r>
        <w:rPr>
          <w:sz w:val="22"/>
          <w:szCs w:val="22"/>
        </w:rPr>
        <w:pict w14:anchorId="2C55D32D">
          <v:rect id="_x0000_i1028" style="width:0;height:1.5pt" o:hralign="center" o:hrstd="t" o:hr="t" fillcolor="#a0a0a0" stroked="f"/>
        </w:pict>
      </w:r>
    </w:p>
    <w:p w14:paraId="6E5B3028" w14:textId="77777777" w:rsidR="00AC6804" w:rsidRPr="00617936" w:rsidRDefault="00AC6804" w:rsidP="00AC6804">
      <w:pPr>
        <w:rPr>
          <w:b/>
          <w:bCs/>
          <w:sz w:val="28"/>
          <w:szCs w:val="28"/>
        </w:rPr>
      </w:pPr>
      <w:r w:rsidRPr="00617936">
        <w:rPr>
          <w:b/>
          <w:bCs/>
          <w:sz w:val="28"/>
          <w:szCs w:val="28"/>
        </w:rPr>
        <w:t>ADDITIONAL CLINICAL EXPERIENCE</w:t>
      </w:r>
    </w:p>
    <w:p w14:paraId="3B5371A8" w14:textId="77777777" w:rsidR="00AC6804" w:rsidRPr="00E52552" w:rsidRDefault="00AC6804" w:rsidP="00AC6804">
      <w:pPr>
        <w:rPr>
          <w:sz w:val="22"/>
          <w:szCs w:val="22"/>
        </w:rPr>
      </w:pPr>
      <w:r w:rsidRPr="00E52552">
        <w:rPr>
          <w:b/>
          <w:bCs/>
        </w:rPr>
        <w:t>Family Care of Fairfax – Primary Care Physician</w:t>
      </w:r>
      <w:r w:rsidRPr="00E52552">
        <w:rPr>
          <w:sz w:val="22"/>
          <w:szCs w:val="22"/>
        </w:rPr>
        <w:br/>
        <w:t>April 2001 – February 2002</w:t>
      </w:r>
      <w:r w:rsidRPr="00E52552">
        <w:rPr>
          <w:sz w:val="22"/>
          <w:szCs w:val="22"/>
        </w:rPr>
        <w:br/>
        <w:t>• Provided comprehensive primary care for patients of all ages.</w:t>
      </w:r>
      <w:r w:rsidRPr="00E52552">
        <w:rPr>
          <w:sz w:val="22"/>
          <w:szCs w:val="22"/>
        </w:rPr>
        <w:br/>
        <w:t>• Managed acute and chronic medical conditions and preventive health services.</w:t>
      </w:r>
    </w:p>
    <w:p w14:paraId="0B3C0F14" w14:textId="77777777" w:rsidR="00AC6804" w:rsidRPr="00E52552" w:rsidRDefault="00AC6804" w:rsidP="00AC6804">
      <w:pPr>
        <w:rPr>
          <w:sz w:val="22"/>
          <w:szCs w:val="22"/>
        </w:rPr>
      </w:pPr>
      <w:r w:rsidRPr="00E52552">
        <w:rPr>
          <w:b/>
          <w:bCs/>
        </w:rPr>
        <w:t>Roseland Doctors, National Health System, New Zealand – General Practitioner</w:t>
      </w:r>
      <w:r w:rsidRPr="00E52552">
        <w:rPr>
          <w:sz w:val="22"/>
          <w:szCs w:val="22"/>
        </w:rPr>
        <w:br/>
        <w:t>November 1999 – January 2001</w:t>
      </w:r>
      <w:r w:rsidRPr="00E52552">
        <w:rPr>
          <w:sz w:val="22"/>
          <w:szCs w:val="22"/>
        </w:rPr>
        <w:br/>
        <w:t>• Practiced as a traditional General Practitioner in a lower-income, underserved community.</w:t>
      </w:r>
      <w:r w:rsidRPr="00E52552">
        <w:rPr>
          <w:sz w:val="22"/>
          <w:szCs w:val="22"/>
        </w:rPr>
        <w:br/>
        <w:t>• Developed culturally competent care skills through direct service to indigenous populations.</w:t>
      </w:r>
    </w:p>
    <w:p w14:paraId="1A1B2BF7" w14:textId="77777777" w:rsidR="00AC6804" w:rsidRPr="00E52552" w:rsidRDefault="00AC6804" w:rsidP="00AC6804">
      <w:pPr>
        <w:rPr>
          <w:sz w:val="22"/>
          <w:szCs w:val="22"/>
        </w:rPr>
      </w:pPr>
      <w:r w:rsidRPr="00E52552">
        <w:rPr>
          <w:b/>
          <w:bCs/>
        </w:rPr>
        <w:t>Franconia Family Medicine – Group Practice Physician</w:t>
      </w:r>
      <w:r w:rsidRPr="00E52552">
        <w:rPr>
          <w:sz w:val="22"/>
          <w:szCs w:val="22"/>
        </w:rPr>
        <w:br/>
        <w:t>August 1994 – August 1999</w:t>
      </w:r>
      <w:r w:rsidRPr="00E52552">
        <w:rPr>
          <w:sz w:val="22"/>
          <w:szCs w:val="22"/>
        </w:rPr>
        <w:br/>
        <w:t>• Provided comprehensive primary care for patients of all ages.</w:t>
      </w:r>
      <w:r w:rsidRPr="00E52552">
        <w:rPr>
          <w:sz w:val="22"/>
          <w:szCs w:val="22"/>
        </w:rPr>
        <w:br/>
        <w:t>• Managed acute and chronic medical conditions and preventive health services.</w:t>
      </w:r>
    </w:p>
    <w:p w14:paraId="1F7250F7" w14:textId="77777777" w:rsidR="00AC6804" w:rsidRPr="00E52552" w:rsidRDefault="00000000" w:rsidP="00AC6804">
      <w:pPr>
        <w:rPr>
          <w:sz w:val="22"/>
          <w:szCs w:val="22"/>
        </w:rPr>
      </w:pPr>
      <w:r>
        <w:rPr>
          <w:sz w:val="22"/>
          <w:szCs w:val="22"/>
        </w:rPr>
        <w:pict w14:anchorId="7393379E">
          <v:rect id="_x0000_i1029" style="width:0;height:1.5pt" o:hralign="center" o:hrstd="t" o:hr="t" fillcolor="#a0a0a0" stroked="f"/>
        </w:pict>
      </w:r>
    </w:p>
    <w:p w14:paraId="7F98C9FA" w14:textId="77777777" w:rsidR="00AC6804" w:rsidRPr="00E52552" w:rsidRDefault="00AC6804" w:rsidP="00AC6804">
      <w:pPr>
        <w:rPr>
          <w:b/>
          <w:bCs/>
          <w:sz w:val="28"/>
          <w:szCs w:val="28"/>
        </w:rPr>
      </w:pPr>
      <w:r w:rsidRPr="00E52552">
        <w:rPr>
          <w:b/>
          <w:bCs/>
          <w:sz w:val="28"/>
          <w:szCs w:val="28"/>
        </w:rPr>
        <w:lastRenderedPageBreak/>
        <w:t>MEDIA, CONSULTING, AND EDUCATIONAL ROLES</w:t>
      </w:r>
    </w:p>
    <w:p w14:paraId="6E020B72" w14:textId="7BAD13C2" w:rsidR="00CD57F0" w:rsidRPr="00CD57F0" w:rsidRDefault="00AC6804" w:rsidP="00AC6804">
      <w:pPr>
        <w:rPr>
          <w:sz w:val="22"/>
          <w:szCs w:val="22"/>
        </w:rPr>
      </w:pPr>
      <w:r w:rsidRPr="00E52552">
        <w:rPr>
          <w:b/>
          <w:bCs/>
          <w:sz w:val="22"/>
          <w:szCs w:val="22"/>
        </w:rPr>
        <w:t xml:space="preserve">• </w:t>
      </w:r>
      <w:r w:rsidRPr="00E52552">
        <w:rPr>
          <w:b/>
          <w:bCs/>
        </w:rPr>
        <w:t>Host and Content Creator</w:t>
      </w:r>
      <w:r w:rsidRPr="00E52552">
        <w:rPr>
          <w:sz w:val="22"/>
          <w:szCs w:val="22"/>
        </w:rPr>
        <w:t xml:space="preserve">, </w:t>
      </w:r>
      <w:r w:rsidRPr="00E52552">
        <w:rPr>
          <w:i/>
          <w:iCs/>
          <w:sz w:val="22"/>
          <w:szCs w:val="22"/>
        </w:rPr>
        <w:t>Medicine Matters with Dr. Wendy Handler</w:t>
      </w:r>
      <w:r w:rsidR="004C0216">
        <w:rPr>
          <w:sz w:val="22"/>
          <w:szCs w:val="22"/>
        </w:rPr>
        <w:t xml:space="preserve">, </w:t>
      </w:r>
      <w:r w:rsidRPr="00E52552">
        <w:rPr>
          <w:sz w:val="22"/>
          <w:szCs w:val="22"/>
        </w:rPr>
        <w:t>Herndon Community Television (HCTV) | 2015 – 2018</w:t>
      </w:r>
      <w:r w:rsidRPr="00E52552">
        <w:rPr>
          <w:sz w:val="22"/>
          <w:szCs w:val="22"/>
        </w:rPr>
        <w:br/>
      </w:r>
      <w:r w:rsidRPr="00E52552">
        <w:rPr>
          <w:b/>
          <w:bCs/>
          <w:sz w:val="22"/>
          <w:szCs w:val="22"/>
        </w:rPr>
        <w:t xml:space="preserve">• </w:t>
      </w:r>
      <w:r w:rsidRPr="00E52552">
        <w:rPr>
          <w:b/>
          <w:bCs/>
        </w:rPr>
        <w:t>Guest Medical Expert</w:t>
      </w:r>
      <w:r w:rsidR="00CD57F0">
        <w:rPr>
          <w:sz w:val="22"/>
          <w:szCs w:val="22"/>
        </w:rPr>
        <w:t xml:space="preserve">, </w:t>
      </w:r>
      <w:r w:rsidRPr="00E52552">
        <w:rPr>
          <w:sz w:val="22"/>
          <w:szCs w:val="22"/>
        </w:rPr>
        <w:t>FOX Morning News | October 200</w:t>
      </w:r>
      <w:r w:rsidR="00CD57F0">
        <w:rPr>
          <w:sz w:val="22"/>
          <w:szCs w:val="22"/>
        </w:rPr>
        <w:t>4</w:t>
      </w:r>
      <w:r w:rsidR="005D3589">
        <w:rPr>
          <w:sz w:val="22"/>
          <w:szCs w:val="22"/>
        </w:rPr>
        <w:t xml:space="preserve">, </w:t>
      </w:r>
      <w:r w:rsidR="00CD57F0" w:rsidRPr="00235B25">
        <w:rPr>
          <w:sz w:val="22"/>
          <w:szCs w:val="22"/>
        </w:rPr>
        <w:t>Herndon Live</w:t>
      </w:r>
      <w:r w:rsidR="00CD57F0" w:rsidRPr="00E52552">
        <w:rPr>
          <w:sz w:val="22"/>
          <w:szCs w:val="22"/>
        </w:rPr>
        <w:t xml:space="preserve"> | 2014</w:t>
      </w:r>
      <w:r w:rsidRPr="00E52552">
        <w:rPr>
          <w:sz w:val="22"/>
          <w:szCs w:val="22"/>
        </w:rPr>
        <w:br/>
      </w:r>
      <w:r w:rsidRPr="00E52552">
        <w:rPr>
          <w:b/>
          <w:bCs/>
          <w:sz w:val="22"/>
          <w:szCs w:val="22"/>
        </w:rPr>
        <w:t xml:space="preserve">• </w:t>
      </w:r>
      <w:r w:rsidRPr="00E52552">
        <w:rPr>
          <w:b/>
          <w:bCs/>
        </w:rPr>
        <w:t>Consulting Physician</w:t>
      </w:r>
      <w:r w:rsidRPr="00E52552">
        <w:rPr>
          <w:sz w:val="22"/>
          <w:szCs w:val="22"/>
        </w:rPr>
        <w:t>, Washington Redskins Cheerleaders | 2005 – 2012</w:t>
      </w:r>
      <w:r w:rsidRPr="00E52552">
        <w:rPr>
          <w:sz w:val="22"/>
          <w:szCs w:val="22"/>
        </w:rPr>
        <w:br/>
        <w:t xml:space="preserve">• </w:t>
      </w:r>
      <w:r w:rsidRPr="00DF7FFC">
        <w:rPr>
          <w:b/>
          <w:bCs/>
        </w:rPr>
        <w:t>Lecturer</w:t>
      </w:r>
      <w:r w:rsidRPr="00DF7FFC">
        <w:t>,</w:t>
      </w:r>
      <w:r w:rsidRPr="00E52552">
        <w:rPr>
          <w:sz w:val="22"/>
          <w:szCs w:val="22"/>
        </w:rPr>
        <w:t xml:space="preserve"> Women’s Health and LGBTQ Health Education Series | 2004 – 2005</w:t>
      </w:r>
      <w:r w:rsidR="004A1F0F">
        <w:rPr>
          <w:sz w:val="22"/>
          <w:szCs w:val="22"/>
        </w:rPr>
        <w:t>; t</w:t>
      </w:r>
      <w:r w:rsidRPr="00E52552">
        <w:rPr>
          <w:sz w:val="22"/>
          <w:szCs w:val="22"/>
        </w:rPr>
        <w:t>opics included STDs and LGBTQ health</w:t>
      </w:r>
      <w:r w:rsidRPr="00E52552">
        <w:rPr>
          <w:sz w:val="22"/>
          <w:szCs w:val="22"/>
        </w:rPr>
        <w:br/>
        <w:t xml:space="preserve">• </w:t>
      </w:r>
      <w:r w:rsidRPr="00E52552">
        <w:rPr>
          <w:b/>
          <w:bCs/>
        </w:rPr>
        <w:t>Team Physician</w:t>
      </w:r>
      <w:r w:rsidRPr="00E52552">
        <w:rPr>
          <w:sz w:val="22"/>
          <w:szCs w:val="22"/>
        </w:rPr>
        <w:t>, Edison High School | 1996 – 1998</w:t>
      </w:r>
    </w:p>
    <w:p w14:paraId="69936484" w14:textId="77777777" w:rsidR="00AC6804" w:rsidRPr="00E52552" w:rsidRDefault="00000000" w:rsidP="00AC6804">
      <w:pPr>
        <w:rPr>
          <w:sz w:val="22"/>
          <w:szCs w:val="22"/>
        </w:rPr>
      </w:pPr>
      <w:r>
        <w:rPr>
          <w:sz w:val="22"/>
          <w:szCs w:val="22"/>
        </w:rPr>
        <w:pict w14:anchorId="71C9932B">
          <v:rect id="_x0000_i1030" style="width:0;height:1.5pt" o:hralign="center" o:hrstd="t" o:hr="t" fillcolor="#a0a0a0" stroked="f"/>
        </w:pict>
      </w:r>
    </w:p>
    <w:p w14:paraId="5683FF02" w14:textId="77777777" w:rsidR="00AC6804" w:rsidRPr="00E52552" w:rsidRDefault="00AC6804" w:rsidP="00AC6804">
      <w:pPr>
        <w:rPr>
          <w:b/>
          <w:bCs/>
          <w:sz w:val="28"/>
          <w:szCs w:val="28"/>
        </w:rPr>
      </w:pPr>
      <w:r w:rsidRPr="00E52552">
        <w:rPr>
          <w:b/>
          <w:bCs/>
          <w:sz w:val="28"/>
          <w:szCs w:val="28"/>
        </w:rPr>
        <w:t>EDUCATION AND TRAINING</w:t>
      </w:r>
    </w:p>
    <w:p w14:paraId="20DACE83" w14:textId="77E26119" w:rsidR="00AC6804" w:rsidRPr="00E52552" w:rsidRDefault="00AC6804" w:rsidP="00AC6804">
      <w:pPr>
        <w:rPr>
          <w:sz w:val="22"/>
          <w:szCs w:val="22"/>
        </w:rPr>
      </w:pPr>
      <w:r w:rsidRPr="00E52552">
        <w:rPr>
          <w:sz w:val="22"/>
          <w:szCs w:val="22"/>
        </w:rPr>
        <w:t xml:space="preserve">• </w:t>
      </w:r>
      <w:r w:rsidRPr="00E52552">
        <w:rPr>
          <w:b/>
          <w:bCs/>
        </w:rPr>
        <w:t>Family Medicine Internship and Residency</w:t>
      </w:r>
      <w:r w:rsidRPr="00E52552">
        <w:rPr>
          <w:sz w:val="22"/>
          <w:szCs w:val="22"/>
        </w:rPr>
        <w:br/>
        <w:t>Somerset Family Practice / Somerset Medical Center, Somerville, NJ</w:t>
      </w:r>
      <w:r w:rsidRPr="00E52552">
        <w:rPr>
          <w:sz w:val="22"/>
          <w:szCs w:val="22"/>
        </w:rPr>
        <w:br/>
        <w:t>July 1991 – June 1994</w:t>
      </w:r>
      <w:r w:rsidRPr="00E52552">
        <w:rPr>
          <w:sz w:val="22"/>
          <w:szCs w:val="22"/>
        </w:rPr>
        <w:br/>
        <w:t xml:space="preserve">• </w:t>
      </w:r>
      <w:r w:rsidRPr="00E52552">
        <w:rPr>
          <w:b/>
          <w:bCs/>
        </w:rPr>
        <w:t>Doctor of Medicine (MD)</w:t>
      </w:r>
      <w:r w:rsidRPr="00E52552">
        <w:rPr>
          <w:sz w:val="22"/>
          <w:szCs w:val="22"/>
        </w:rPr>
        <w:br/>
        <w:t>University of Medicine and Dentistry of New Jersey (UMDNJ) /</w:t>
      </w:r>
      <w:r w:rsidRPr="00E52552">
        <w:rPr>
          <w:sz w:val="22"/>
          <w:szCs w:val="22"/>
        </w:rPr>
        <w:br/>
        <w:t>Rutgers New Jersey Medical School, Newark, NJ</w:t>
      </w:r>
      <w:r w:rsidRPr="00E52552">
        <w:rPr>
          <w:sz w:val="22"/>
          <w:szCs w:val="22"/>
        </w:rPr>
        <w:br/>
        <w:t>August 1987 – May 1991</w:t>
      </w:r>
      <w:r w:rsidRPr="00E52552">
        <w:rPr>
          <w:sz w:val="22"/>
          <w:szCs w:val="22"/>
        </w:rPr>
        <w:br/>
        <w:t xml:space="preserve">• </w:t>
      </w:r>
      <w:r w:rsidRPr="00E52552">
        <w:rPr>
          <w:b/>
          <w:bCs/>
        </w:rPr>
        <w:t>Bachelor of Science (BS), Chemistry</w:t>
      </w:r>
      <w:r w:rsidRPr="00E52552">
        <w:rPr>
          <w:sz w:val="22"/>
          <w:szCs w:val="22"/>
        </w:rPr>
        <w:br/>
        <w:t>University of Delaware</w:t>
      </w:r>
      <w:r w:rsidR="003A7C72">
        <w:rPr>
          <w:sz w:val="22"/>
          <w:szCs w:val="22"/>
        </w:rPr>
        <w:t>, Newark, DE</w:t>
      </w:r>
      <w:r w:rsidRPr="00E52552">
        <w:rPr>
          <w:sz w:val="22"/>
          <w:szCs w:val="22"/>
        </w:rPr>
        <w:br/>
        <w:t>August 1983 – May 1987</w:t>
      </w:r>
      <w:r w:rsidRPr="00E52552">
        <w:rPr>
          <w:sz w:val="22"/>
          <w:szCs w:val="22"/>
        </w:rPr>
        <w:br/>
      </w:r>
      <w:r w:rsidRPr="00E52552">
        <w:rPr>
          <w:i/>
          <w:iCs/>
          <w:sz w:val="22"/>
          <w:szCs w:val="22"/>
        </w:rPr>
        <w:t>Magna cum laude; Phi Beta Kappa; Dean’s List (All Semesters)</w:t>
      </w:r>
      <w:r w:rsidRPr="00E52552">
        <w:rPr>
          <w:sz w:val="22"/>
          <w:szCs w:val="22"/>
        </w:rPr>
        <w:br/>
        <w:t xml:space="preserve">• </w:t>
      </w:r>
      <w:r w:rsidRPr="00E52552">
        <w:rPr>
          <w:b/>
          <w:bCs/>
        </w:rPr>
        <w:t>High School Diploma</w:t>
      </w:r>
      <w:r w:rsidRPr="00E52552">
        <w:rPr>
          <w:sz w:val="22"/>
          <w:szCs w:val="22"/>
        </w:rPr>
        <w:br/>
        <w:t>Bergenfield High School, Bergenfield, NJ</w:t>
      </w:r>
      <w:r w:rsidRPr="00E52552">
        <w:rPr>
          <w:sz w:val="22"/>
          <w:szCs w:val="22"/>
        </w:rPr>
        <w:br/>
        <w:t>August 1979 – June 1983</w:t>
      </w:r>
      <w:r w:rsidRPr="00E52552">
        <w:rPr>
          <w:sz w:val="22"/>
          <w:szCs w:val="22"/>
        </w:rPr>
        <w:br/>
        <w:t>Valedictorian</w:t>
      </w:r>
    </w:p>
    <w:p w14:paraId="053148D1" w14:textId="77777777" w:rsidR="00AC6804" w:rsidRPr="00E52552" w:rsidRDefault="00000000" w:rsidP="00AC6804">
      <w:pPr>
        <w:rPr>
          <w:sz w:val="22"/>
          <w:szCs w:val="22"/>
        </w:rPr>
      </w:pPr>
      <w:r>
        <w:rPr>
          <w:sz w:val="22"/>
          <w:szCs w:val="22"/>
        </w:rPr>
        <w:pict w14:anchorId="5D1FD2AE">
          <v:rect id="_x0000_i1031" style="width:0;height:1.5pt" o:hralign="center" o:hrstd="t" o:hr="t" fillcolor="#a0a0a0" stroked="f"/>
        </w:pict>
      </w:r>
    </w:p>
    <w:p w14:paraId="4EC32981" w14:textId="77777777" w:rsidR="00AC6804" w:rsidRPr="00E52552" w:rsidRDefault="00AC6804" w:rsidP="00AC6804">
      <w:pPr>
        <w:rPr>
          <w:b/>
          <w:bCs/>
          <w:sz w:val="28"/>
          <w:szCs w:val="28"/>
        </w:rPr>
      </w:pPr>
      <w:r w:rsidRPr="00E52552">
        <w:rPr>
          <w:b/>
          <w:bCs/>
          <w:sz w:val="28"/>
          <w:szCs w:val="28"/>
        </w:rPr>
        <w:t>LICENSES</w:t>
      </w:r>
    </w:p>
    <w:p w14:paraId="301C20D1" w14:textId="77777777" w:rsidR="00AC6804" w:rsidRPr="00E52552" w:rsidRDefault="00AC6804" w:rsidP="00AC6804">
      <w:pPr>
        <w:rPr>
          <w:sz w:val="22"/>
          <w:szCs w:val="22"/>
        </w:rPr>
      </w:pPr>
      <w:r w:rsidRPr="00E52552">
        <w:rPr>
          <w:sz w:val="22"/>
          <w:szCs w:val="22"/>
        </w:rPr>
        <w:t>• Virginia</w:t>
      </w:r>
      <w:r w:rsidRPr="00E52552">
        <w:rPr>
          <w:sz w:val="22"/>
          <w:szCs w:val="22"/>
        </w:rPr>
        <w:br/>
        <w:t>• Washington, DC</w:t>
      </w:r>
      <w:r w:rsidRPr="00E52552">
        <w:rPr>
          <w:sz w:val="22"/>
          <w:szCs w:val="22"/>
        </w:rPr>
        <w:br/>
        <w:t>• Maryland</w:t>
      </w:r>
    </w:p>
    <w:p w14:paraId="4223BB6E" w14:textId="77777777" w:rsidR="00AC6804" w:rsidRPr="00E52552" w:rsidRDefault="00000000" w:rsidP="00AC6804">
      <w:pPr>
        <w:rPr>
          <w:sz w:val="22"/>
          <w:szCs w:val="22"/>
        </w:rPr>
      </w:pPr>
      <w:r>
        <w:rPr>
          <w:sz w:val="22"/>
          <w:szCs w:val="22"/>
        </w:rPr>
        <w:pict w14:anchorId="28E23301">
          <v:rect id="_x0000_i1032" style="width:0;height:1.5pt" o:hralign="center" o:hrstd="t" o:hr="t" fillcolor="#a0a0a0" stroked="f"/>
        </w:pict>
      </w:r>
    </w:p>
    <w:p w14:paraId="6FDA4C11" w14:textId="77777777" w:rsidR="00AC6804" w:rsidRPr="00E52552" w:rsidRDefault="00AC6804" w:rsidP="00AC6804">
      <w:pPr>
        <w:rPr>
          <w:b/>
          <w:bCs/>
          <w:sz w:val="28"/>
          <w:szCs w:val="28"/>
        </w:rPr>
      </w:pPr>
      <w:r w:rsidRPr="00E52552">
        <w:rPr>
          <w:b/>
          <w:bCs/>
          <w:sz w:val="28"/>
          <w:szCs w:val="28"/>
        </w:rPr>
        <w:t>CERTIFICATIONS</w:t>
      </w:r>
    </w:p>
    <w:p w14:paraId="24A5119A" w14:textId="77777777" w:rsidR="00AC6804" w:rsidRPr="00E52552" w:rsidRDefault="00AC6804" w:rsidP="00AC6804">
      <w:pPr>
        <w:rPr>
          <w:sz w:val="22"/>
          <w:szCs w:val="22"/>
        </w:rPr>
      </w:pPr>
      <w:r w:rsidRPr="00E52552">
        <w:rPr>
          <w:sz w:val="22"/>
          <w:szCs w:val="22"/>
        </w:rPr>
        <w:t xml:space="preserve">• </w:t>
      </w:r>
      <w:r w:rsidRPr="00E07769">
        <w:rPr>
          <w:b/>
          <w:bCs/>
          <w:sz w:val="22"/>
          <w:szCs w:val="22"/>
        </w:rPr>
        <w:t>Board Certified in Family Medicine</w:t>
      </w:r>
      <w:r w:rsidRPr="00E52552">
        <w:rPr>
          <w:sz w:val="22"/>
          <w:szCs w:val="22"/>
        </w:rPr>
        <w:t xml:space="preserve"> (1994; Recertified 2001, 2008, 2018)</w:t>
      </w:r>
      <w:r w:rsidRPr="00E52552">
        <w:rPr>
          <w:sz w:val="22"/>
          <w:szCs w:val="22"/>
        </w:rPr>
        <w:br/>
        <w:t xml:space="preserve">• </w:t>
      </w:r>
      <w:r w:rsidRPr="00E07769">
        <w:rPr>
          <w:b/>
          <w:bCs/>
          <w:sz w:val="22"/>
          <w:szCs w:val="22"/>
        </w:rPr>
        <w:t>Certified Independent Medical Examiner (CIME),</w:t>
      </w:r>
      <w:r w:rsidRPr="00E52552">
        <w:rPr>
          <w:sz w:val="22"/>
          <w:szCs w:val="22"/>
        </w:rPr>
        <w:t xml:space="preserve"> ABIME (December 2024)</w:t>
      </w:r>
    </w:p>
    <w:p w14:paraId="6BA10A4C" w14:textId="77777777" w:rsidR="00AC6804" w:rsidRPr="00E52552" w:rsidRDefault="00000000" w:rsidP="00AC6804">
      <w:pPr>
        <w:rPr>
          <w:sz w:val="22"/>
          <w:szCs w:val="22"/>
        </w:rPr>
      </w:pPr>
      <w:r>
        <w:rPr>
          <w:sz w:val="22"/>
          <w:szCs w:val="22"/>
        </w:rPr>
        <w:lastRenderedPageBreak/>
        <w:pict w14:anchorId="08CB8662">
          <v:rect id="_x0000_i1033" style="width:0;height:1.5pt" o:hralign="center" o:hrstd="t" o:hr="t" fillcolor="#a0a0a0" stroked="f"/>
        </w:pict>
      </w:r>
    </w:p>
    <w:p w14:paraId="1C14FF25" w14:textId="77777777" w:rsidR="00AC6804" w:rsidRPr="00E52552" w:rsidRDefault="00AC6804" w:rsidP="00AC6804">
      <w:pPr>
        <w:rPr>
          <w:b/>
          <w:bCs/>
          <w:sz w:val="28"/>
          <w:szCs w:val="28"/>
        </w:rPr>
      </w:pPr>
      <w:r w:rsidRPr="00E52552">
        <w:rPr>
          <w:b/>
          <w:bCs/>
          <w:sz w:val="28"/>
          <w:szCs w:val="28"/>
        </w:rPr>
        <w:t>PROFESSIONAL AFFILIATIONS</w:t>
      </w:r>
    </w:p>
    <w:p w14:paraId="6C8CF9E4" w14:textId="77777777" w:rsidR="00AC6804" w:rsidRPr="00E52552" w:rsidRDefault="00AC6804" w:rsidP="00AC6804">
      <w:pPr>
        <w:rPr>
          <w:sz w:val="22"/>
          <w:szCs w:val="22"/>
        </w:rPr>
      </w:pPr>
      <w:r w:rsidRPr="00E52552">
        <w:rPr>
          <w:sz w:val="22"/>
          <w:szCs w:val="22"/>
        </w:rPr>
        <w:t>American Academy of Family Physicians (AAFP) | 1994 – Present</w:t>
      </w:r>
    </w:p>
    <w:p w14:paraId="775B9CA8" w14:textId="77777777" w:rsidR="00AC6804" w:rsidRPr="007759BA" w:rsidRDefault="00AC6804" w:rsidP="00AC6804">
      <w:pPr>
        <w:rPr>
          <w:sz w:val="22"/>
          <w:szCs w:val="22"/>
        </w:rPr>
      </w:pPr>
    </w:p>
    <w:p w14:paraId="59419025" w14:textId="77777777" w:rsidR="008D4C40" w:rsidRPr="007759BA" w:rsidRDefault="008D4C40">
      <w:pPr>
        <w:rPr>
          <w:rFonts w:cs="Calibri"/>
          <w:sz w:val="22"/>
          <w:szCs w:val="22"/>
        </w:rPr>
      </w:pPr>
    </w:p>
    <w:sectPr w:rsidR="008D4C40" w:rsidRPr="00775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286"/>
    <w:multiLevelType w:val="multilevel"/>
    <w:tmpl w:val="5354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97E17"/>
    <w:multiLevelType w:val="multilevel"/>
    <w:tmpl w:val="FFB0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72277"/>
    <w:multiLevelType w:val="multilevel"/>
    <w:tmpl w:val="AE88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77DE8"/>
    <w:multiLevelType w:val="multilevel"/>
    <w:tmpl w:val="EA34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E13B0"/>
    <w:multiLevelType w:val="multilevel"/>
    <w:tmpl w:val="0510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C27D6"/>
    <w:multiLevelType w:val="multilevel"/>
    <w:tmpl w:val="1160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857F1"/>
    <w:multiLevelType w:val="multilevel"/>
    <w:tmpl w:val="00BA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25FAD"/>
    <w:multiLevelType w:val="multilevel"/>
    <w:tmpl w:val="784E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9256C"/>
    <w:multiLevelType w:val="multilevel"/>
    <w:tmpl w:val="A740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056C5"/>
    <w:multiLevelType w:val="multilevel"/>
    <w:tmpl w:val="F84C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537925"/>
    <w:multiLevelType w:val="multilevel"/>
    <w:tmpl w:val="9A7A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593B0A"/>
    <w:multiLevelType w:val="multilevel"/>
    <w:tmpl w:val="4BAE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E473FD"/>
    <w:multiLevelType w:val="multilevel"/>
    <w:tmpl w:val="05E0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A5E12"/>
    <w:multiLevelType w:val="multilevel"/>
    <w:tmpl w:val="63DE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864F45"/>
    <w:multiLevelType w:val="multilevel"/>
    <w:tmpl w:val="8C1A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05D20"/>
    <w:multiLevelType w:val="multilevel"/>
    <w:tmpl w:val="BCEE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4E4F63"/>
    <w:multiLevelType w:val="multilevel"/>
    <w:tmpl w:val="786C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8C042E"/>
    <w:multiLevelType w:val="multilevel"/>
    <w:tmpl w:val="F2F0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B42CA"/>
    <w:multiLevelType w:val="multilevel"/>
    <w:tmpl w:val="E394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E61180"/>
    <w:multiLevelType w:val="multilevel"/>
    <w:tmpl w:val="FA88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947735"/>
    <w:multiLevelType w:val="multilevel"/>
    <w:tmpl w:val="125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6E1180"/>
    <w:multiLevelType w:val="multilevel"/>
    <w:tmpl w:val="2462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7171B8"/>
    <w:multiLevelType w:val="multilevel"/>
    <w:tmpl w:val="05BA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D131C"/>
    <w:multiLevelType w:val="multilevel"/>
    <w:tmpl w:val="789E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3D7EB8"/>
    <w:multiLevelType w:val="multilevel"/>
    <w:tmpl w:val="5FF6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5E7DDE"/>
    <w:multiLevelType w:val="multilevel"/>
    <w:tmpl w:val="F5E8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0A4A89"/>
    <w:multiLevelType w:val="multilevel"/>
    <w:tmpl w:val="52DC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B072BF"/>
    <w:multiLevelType w:val="multilevel"/>
    <w:tmpl w:val="D7E8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813AF0"/>
    <w:multiLevelType w:val="multilevel"/>
    <w:tmpl w:val="904C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897061"/>
    <w:multiLevelType w:val="multilevel"/>
    <w:tmpl w:val="31D4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5F7528"/>
    <w:multiLevelType w:val="multilevel"/>
    <w:tmpl w:val="AFA4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2E00CA"/>
    <w:multiLevelType w:val="multilevel"/>
    <w:tmpl w:val="CC9E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0038BA"/>
    <w:multiLevelType w:val="multilevel"/>
    <w:tmpl w:val="FECE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641037"/>
    <w:multiLevelType w:val="multilevel"/>
    <w:tmpl w:val="777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751E92"/>
    <w:multiLevelType w:val="multilevel"/>
    <w:tmpl w:val="F83C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AF4CFE"/>
    <w:multiLevelType w:val="multilevel"/>
    <w:tmpl w:val="CD68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EE28A4"/>
    <w:multiLevelType w:val="multilevel"/>
    <w:tmpl w:val="94AE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CC7D1E"/>
    <w:multiLevelType w:val="multilevel"/>
    <w:tmpl w:val="9BA4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D758D6"/>
    <w:multiLevelType w:val="multilevel"/>
    <w:tmpl w:val="AE7E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D2163C"/>
    <w:multiLevelType w:val="multilevel"/>
    <w:tmpl w:val="5CC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EC1FEB"/>
    <w:multiLevelType w:val="multilevel"/>
    <w:tmpl w:val="7D8C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CD3B02"/>
    <w:multiLevelType w:val="multilevel"/>
    <w:tmpl w:val="EAB4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533814">
    <w:abstractNumId w:val="28"/>
  </w:num>
  <w:num w:numId="2" w16cid:durableId="1867789836">
    <w:abstractNumId w:val="15"/>
  </w:num>
  <w:num w:numId="3" w16cid:durableId="1910337158">
    <w:abstractNumId w:val="11"/>
  </w:num>
  <w:num w:numId="4" w16cid:durableId="360592194">
    <w:abstractNumId w:val="26"/>
  </w:num>
  <w:num w:numId="5" w16cid:durableId="959534465">
    <w:abstractNumId w:val="12"/>
  </w:num>
  <w:num w:numId="6" w16cid:durableId="1941715758">
    <w:abstractNumId w:val="36"/>
  </w:num>
  <w:num w:numId="7" w16cid:durableId="1343823876">
    <w:abstractNumId w:val="6"/>
  </w:num>
  <w:num w:numId="8" w16cid:durableId="895122776">
    <w:abstractNumId w:val="33"/>
  </w:num>
  <w:num w:numId="9" w16cid:durableId="1784038663">
    <w:abstractNumId w:val="38"/>
  </w:num>
  <w:num w:numId="10" w16cid:durableId="1606036175">
    <w:abstractNumId w:val="27"/>
  </w:num>
  <w:num w:numId="11" w16cid:durableId="752510782">
    <w:abstractNumId w:val="1"/>
  </w:num>
  <w:num w:numId="12" w16cid:durableId="124322874">
    <w:abstractNumId w:val="3"/>
  </w:num>
  <w:num w:numId="13" w16cid:durableId="1585651331">
    <w:abstractNumId w:val="34"/>
  </w:num>
  <w:num w:numId="14" w16cid:durableId="39062978">
    <w:abstractNumId w:val="21"/>
  </w:num>
  <w:num w:numId="15" w16cid:durableId="1605572937">
    <w:abstractNumId w:val="35"/>
  </w:num>
  <w:num w:numId="16" w16cid:durableId="193806016">
    <w:abstractNumId w:val="18"/>
  </w:num>
  <w:num w:numId="17" w16cid:durableId="1345208550">
    <w:abstractNumId w:val="8"/>
  </w:num>
  <w:num w:numId="18" w16cid:durableId="1859006505">
    <w:abstractNumId w:val="5"/>
  </w:num>
  <w:num w:numId="19" w16cid:durableId="1701392550">
    <w:abstractNumId w:val="20"/>
  </w:num>
  <w:num w:numId="20" w16cid:durableId="1787918422">
    <w:abstractNumId w:val="41"/>
  </w:num>
  <w:num w:numId="21" w16cid:durableId="1103646928">
    <w:abstractNumId w:val="31"/>
  </w:num>
  <w:num w:numId="22" w16cid:durableId="2105228085">
    <w:abstractNumId w:val="25"/>
  </w:num>
  <w:num w:numId="23" w16cid:durableId="228349938">
    <w:abstractNumId w:val="13"/>
  </w:num>
  <w:num w:numId="24" w16cid:durableId="1349717842">
    <w:abstractNumId w:val="16"/>
  </w:num>
  <w:num w:numId="25" w16cid:durableId="817920061">
    <w:abstractNumId w:val="39"/>
  </w:num>
  <w:num w:numId="26" w16cid:durableId="1089423615">
    <w:abstractNumId w:val="9"/>
  </w:num>
  <w:num w:numId="27" w16cid:durableId="789083755">
    <w:abstractNumId w:val="14"/>
  </w:num>
  <w:num w:numId="28" w16cid:durableId="646863897">
    <w:abstractNumId w:val="23"/>
  </w:num>
  <w:num w:numId="29" w16cid:durableId="1281493183">
    <w:abstractNumId w:val="2"/>
  </w:num>
  <w:num w:numId="30" w16cid:durableId="926381397">
    <w:abstractNumId w:val="22"/>
  </w:num>
  <w:num w:numId="31" w16cid:durableId="1999335874">
    <w:abstractNumId w:val="7"/>
  </w:num>
  <w:num w:numId="32" w16cid:durableId="723067849">
    <w:abstractNumId w:val="37"/>
  </w:num>
  <w:num w:numId="33" w16cid:durableId="2105758452">
    <w:abstractNumId w:val="0"/>
  </w:num>
  <w:num w:numId="34" w16cid:durableId="1333146094">
    <w:abstractNumId w:val="17"/>
  </w:num>
  <w:num w:numId="35" w16cid:durableId="403843182">
    <w:abstractNumId w:val="19"/>
  </w:num>
  <w:num w:numId="36" w16cid:durableId="2104034477">
    <w:abstractNumId w:val="24"/>
  </w:num>
  <w:num w:numId="37" w16cid:durableId="246578092">
    <w:abstractNumId w:val="4"/>
  </w:num>
  <w:num w:numId="38" w16cid:durableId="385182702">
    <w:abstractNumId w:val="32"/>
  </w:num>
  <w:num w:numId="39" w16cid:durableId="1136989865">
    <w:abstractNumId w:val="30"/>
  </w:num>
  <w:num w:numId="40" w16cid:durableId="1819104411">
    <w:abstractNumId w:val="40"/>
  </w:num>
  <w:num w:numId="41" w16cid:durableId="1212811779">
    <w:abstractNumId w:val="10"/>
  </w:num>
  <w:num w:numId="42" w16cid:durableId="490426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40"/>
    <w:rsid w:val="000679E1"/>
    <w:rsid w:val="000B5DDB"/>
    <w:rsid w:val="000C31F1"/>
    <w:rsid w:val="0015106E"/>
    <w:rsid w:val="001E5560"/>
    <w:rsid w:val="00235B25"/>
    <w:rsid w:val="00247D76"/>
    <w:rsid w:val="002653FE"/>
    <w:rsid w:val="00276721"/>
    <w:rsid w:val="002F5670"/>
    <w:rsid w:val="00353251"/>
    <w:rsid w:val="00365BB8"/>
    <w:rsid w:val="00366A00"/>
    <w:rsid w:val="003A5122"/>
    <w:rsid w:val="003A7C72"/>
    <w:rsid w:val="00406CD2"/>
    <w:rsid w:val="00417D29"/>
    <w:rsid w:val="00454A54"/>
    <w:rsid w:val="00473AB7"/>
    <w:rsid w:val="0049151D"/>
    <w:rsid w:val="004A1F0F"/>
    <w:rsid w:val="004B776D"/>
    <w:rsid w:val="004C0216"/>
    <w:rsid w:val="0053026A"/>
    <w:rsid w:val="0053086E"/>
    <w:rsid w:val="00530B8D"/>
    <w:rsid w:val="00546874"/>
    <w:rsid w:val="0058588E"/>
    <w:rsid w:val="005D3589"/>
    <w:rsid w:val="005D77E5"/>
    <w:rsid w:val="005F5F12"/>
    <w:rsid w:val="005F673E"/>
    <w:rsid w:val="006117BF"/>
    <w:rsid w:val="00617936"/>
    <w:rsid w:val="00683375"/>
    <w:rsid w:val="006C071C"/>
    <w:rsid w:val="0071575B"/>
    <w:rsid w:val="00762458"/>
    <w:rsid w:val="007759BA"/>
    <w:rsid w:val="0078073D"/>
    <w:rsid w:val="007C6B97"/>
    <w:rsid w:val="008706EA"/>
    <w:rsid w:val="00882FAC"/>
    <w:rsid w:val="008A2FC2"/>
    <w:rsid w:val="008D4C40"/>
    <w:rsid w:val="009027F1"/>
    <w:rsid w:val="009A69AC"/>
    <w:rsid w:val="009E1F9E"/>
    <w:rsid w:val="00A241FF"/>
    <w:rsid w:val="00AC6804"/>
    <w:rsid w:val="00AE2533"/>
    <w:rsid w:val="00B458C1"/>
    <w:rsid w:val="00B50391"/>
    <w:rsid w:val="00BE642F"/>
    <w:rsid w:val="00C11888"/>
    <w:rsid w:val="00CB7ECC"/>
    <w:rsid w:val="00CC4BCD"/>
    <w:rsid w:val="00CD57F0"/>
    <w:rsid w:val="00D11E8D"/>
    <w:rsid w:val="00D27448"/>
    <w:rsid w:val="00D847BB"/>
    <w:rsid w:val="00DF7FFC"/>
    <w:rsid w:val="00E07769"/>
    <w:rsid w:val="00E65FD7"/>
    <w:rsid w:val="00EC434B"/>
    <w:rsid w:val="00F47763"/>
    <w:rsid w:val="00F5131D"/>
    <w:rsid w:val="00FF13AA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BAB5"/>
  <w15:chartTrackingRefBased/>
  <w15:docId w15:val="{1227977C-EAC6-4CF6-897A-6B434A2F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04"/>
  </w:style>
  <w:style w:type="paragraph" w:styleId="Heading1">
    <w:name w:val="heading 1"/>
    <w:basedOn w:val="Normal"/>
    <w:next w:val="Normal"/>
    <w:link w:val="Heading1Char"/>
    <w:uiPriority w:val="9"/>
    <w:qFormat/>
    <w:rsid w:val="008D4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C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C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C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Handler</dc:creator>
  <cp:keywords/>
  <dc:description/>
  <cp:lastModifiedBy>Wendy Handler</cp:lastModifiedBy>
  <cp:revision>14</cp:revision>
  <dcterms:created xsi:type="dcterms:W3CDTF">2026-01-31T16:27:00Z</dcterms:created>
  <dcterms:modified xsi:type="dcterms:W3CDTF">2026-02-08T23:48:00Z</dcterms:modified>
</cp:coreProperties>
</file>